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</w:p>
    <w:p>
      <w:pPr>
        <w:jc w:val="center"/>
        <w:rPr>
          <w:sz w:val="32"/>
          <w:szCs w:val="32"/>
          <w:rFonts w:ascii="黑体" w:eastAsia="黑体" w:hAnsi="黑体"/>
        </w:rPr>
      </w:pPr>
      <w:r>
        <w:rPr>
          <w:sz w:val="32"/>
          <w:szCs w:val="32"/>
          <w:rFonts w:ascii="黑体" w:eastAsia="黑体" w:hAnsi="黑体"/>
        </w:rPr>
        <w:t>2019-2020-</w:t>
      </w:r>
      <w:r>
        <w:rPr>
          <w:sz w:val="32"/>
          <w:szCs w:val="32"/>
          <w:rFonts w:ascii="黑体" w:eastAsia="黑体" w:hAnsi="黑体" w:hint="eastAsia"/>
        </w:rPr>
        <w:t>2卓越智慧树网络课程（试用）</w:t>
      </w:r>
    </w:p>
    <w:p>
      <w:pPr>
        <w:jc w:val="center"/>
        <w:rPr>
          <w:sz w:val="32"/>
          <w:szCs w:val="32"/>
          <w:rFonts w:ascii="黑体" w:eastAsia="黑体" w:hAnsi="黑体"/>
        </w:rPr>
      </w:pPr>
    </w:p>
    <w:p>
      <w:pPr>
        <w:spacing w:lineRule="exact" w:line="400"/>
        <w:ind w:firstLine="420"/>
        <w:rPr>
          <w:sz w:val="24"/>
          <w:szCs w:val="24"/>
          <w:rFonts w:eastAsia="仿宋"/>
        </w:rPr>
      </w:pPr>
      <w:r>
        <w:rPr>
          <w:sz w:val="24"/>
          <w:szCs w:val="24"/>
          <w:rFonts w:eastAsia="仿宋" w:hint="eastAsia"/>
        </w:rPr>
        <w:t>学习方法：网站（</w:t>
      </w:r>
      <w:r>
        <w:rPr/>
        <w:t>http://jiaowu.cqmu.edu.cn:8080/eams/manageLogin.action</w:t>
      </w:r>
      <w:r>
        <w:rPr>
          <w:rFonts w:hint="eastAsia"/>
        </w:rPr>
        <w:t>或</w:t>
      </w:r>
      <w:r>
        <w:rPr/>
        <w:t>http://jwc.cqmu.edu.cn/index/jxgl.htm</w:t>
      </w:r>
      <w:r>
        <w:rPr>
          <w:rFonts w:hint="eastAsia"/>
        </w:rPr>
        <w:t>并点击智慧树网课程平台</w:t>
      </w:r>
      <w:r>
        <w:rPr>
          <w:sz w:val="24"/>
          <w:szCs w:val="24"/>
          <w:rFonts w:eastAsia="仿宋" w:hint="eastAsia"/>
        </w:rPr>
        <w:t>）右上角有智慧平台学习帮助视频和在线客服。</w:t>
      </w:r>
    </w:p>
    <w:p>
      <w:pPr>
        <w:spacing w:lineRule="exact" w:line="400"/>
        <w:ind w:firstLine="420"/>
        <w:rPr>
          <w:sz w:val="24"/>
          <w:szCs w:val="24"/>
          <w:rFonts w:eastAsia="仿宋"/>
        </w:rPr>
      </w:pPr>
      <w:r>
        <w:rPr>
          <w:sz w:val="24"/>
          <w:szCs w:val="24"/>
          <w:rFonts w:eastAsia="仿宋" w:hint="eastAsia"/>
        </w:rPr>
        <w:t>课程学习、考试时间：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20</w:t>
      </w:r>
      <w:r>
        <w:rPr>
          <w:rFonts w:ascii="宋体" w:hAnsi="宋体" w:cs="宋体"/>
        </w:rPr>
        <w:t>年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日至20</w:t>
      </w:r>
      <w:r>
        <w:rPr>
          <w:rFonts w:ascii="宋体" w:hAnsi="宋体" w:cs="宋体" w:hint="eastAsia"/>
        </w:rPr>
        <w:t>20</w:t>
      </w:r>
      <w:r>
        <w:rPr>
          <w:rFonts w:ascii="宋体" w:hAnsi="宋体" w:cs="宋体"/>
        </w:rPr>
        <w:t>年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/>
        </w:rPr>
        <w:t>日</w:t>
      </w:r>
      <w:r>
        <w:rPr>
          <w:sz w:val="24"/>
          <w:szCs w:val="24"/>
          <w:rFonts w:eastAsia="仿宋" w:hint="eastAsia"/>
        </w:rPr>
        <w:t>（第</w:t>
      </w:r>
      <w:r>
        <w:rPr>
          <w:sz w:val="24"/>
          <w:szCs w:val="24"/>
          <w:rFonts w:eastAsia="仿宋"/>
        </w:rPr>
        <w:t>3</w:t>
      </w:r>
      <w:r>
        <w:rPr>
          <w:sz w:val="24"/>
          <w:szCs w:val="24"/>
          <w:rFonts w:eastAsia="仿宋" w:hint="eastAsia"/>
        </w:rPr>
        <w:t>周</w:t>
      </w:r>
      <w:r>
        <w:rPr>
          <w:sz w:val="24"/>
          <w:szCs w:val="24"/>
          <w:rFonts w:eastAsia="仿宋"/>
        </w:rPr>
        <w:t>—</w:t>
      </w:r>
      <w:r>
        <w:rPr>
          <w:sz w:val="24"/>
          <w:szCs w:val="24"/>
          <w:rFonts w:eastAsia="仿宋" w:hint="eastAsia"/>
        </w:rPr>
        <w:t>第</w:t>
      </w:r>
      <w:r>
        <w:rPr>
          <w:sz w:val="24"/>
          <w:szCs w:val="24"/>
          <w:rFonts w:eastAsia="仿宋"/>
        </w:rPr>
        <w:t>1</w:t>
      </w:r>
      <w:r>
        <w:rPr>
          <w:sz w:val="24"/>
          <w:szCs w:val="24"/>
          <w:rFonts w:eastAsia="仿宋"/>
        </w:rPr>
        <w:t>3</w:t>
      </w:r>
      <w:r>
        <w:rPr>
          <w:sz w:val="24"/>
          <w:szCs w:val="24"/>
          <w:rFonts w:eastAsia="仿宋" w:hint="eastAsia"/>
        </w:rPr>
        <w:t>周，其中第</w:t>
      </w:r>
      <w:r>
        <w:rPr>
          <w:sz w:val="24"/>
          <w:szCs w:val="24"/>
          <w:rFonts w:eastAsia="仿宋"/>
        </w:rPr>
        <w:t>1</w:t>
      </w:r>
      <w:r>
        <w:rPr>
          <w:sz w:val="24"/>
          <w:szCs w:val="24"/>
          <w:rFonts w:eastAsia="仿宋"/>
        </w:rPr>
        <w:t>3</w:t>
      </w:r>
      <w:r>
        <w:rPr>
          <w:sz w:val="24"/>
          <w:szCs w:val="24"/>
          <w:rFonts w:eastAsia="仿宋" w:hint="eastAsia"/>
        </w:rPr>
        <w:t>周只作为</w:t>
      </w:r>
      <w:r>
        <w:rPr>
          <w:sz w:val="24"/>
          <w:szCs w:val="24"/>
          <w:rFonts w:eastAsia="仿宋" w:hint="eastAsia"/>
        </w:rPr>
        <w:t>考试周即学生需5月</w:t>
      </w:r>
      <w:r>
        <w:rPr>
          <w:sz w:val="24"/>
          <w:szCs w:val="24"/>
          <w:rFonts w:eastAsia="仿宋" w:hint="eastAsia"/>
        </w:rPr>
        <w:t>10</w:t>
      </w:r>
      <w:r>
        <w:rPr>
          <w:sz w:val="24"/>
          <w:szCs w:val="24"/>
          <w:rFonts w:eastAsia="仿宋" w:hint="eastAsia"/>
        </w:rPr>
        <w:t>日前即第</w:t>
      </w:r>
      <w:r>
        <w:rPr>
          <w:sz w:val="24"/>
          <w:szCs w:val="24"/>
          <w:rFonts w:eastAsia="仿宋"/>
        </w:rPr>
        <w:t>1</w:t>
      </w:r>
      <w:r>
        <w:rPr>
          <w:sz w:val="24"/>
          <w:szCs w:val="24"/>
          <w:rFonts w:eastAsia="仿宋"/>
        </w:rPr>
        <w:t>2</w:t>
      </w:r>
      <w:r>
        <w:rPr>
          <w:sz w:val="24"/>
          <w:szCs w:val="24"/>
          <w:rFonts w:eastAsia="仿宋" w:hint="eastAsia"/>
        </w:rPr>
        <w:t>周内修完课程）。</w:t>
      </w:r>
    </w:p>
    <w:p>
      <w:pPr>
        <w:spacing w:lineRule="exact" w:line="400"/>
        <w:ind w:firstLine="472"/>
        <w:rPr>
          <w:b w:val="1"/>
          <w:sz w:val="24"/>
          <w:szCs w:val="24"/>
          <w:rFonts w:ascii="黑体" w:eastAsia="黑体" w:hAnsi="黑体"/>
        </w:rPr>
      </w:pPr>
      <w:r>
        <w:rPr>
          <w:b w:val="1"/>
          <w:sz w:val="24"/>
          <w:szCs w:val="24"/>
          <w:rFonts w:ascii="黑体" w:eastAsia="黑体" w:hAnsi="黑体" w:hint="eastAsia"/>
        </w:rPr>
        <w:t>注意：</w:t>
      </w:r>
      <w:r>
        <w:rPr>
          <w:sz w:val="24"/>
          <w:szCs w:val="24"/>
          <w:rFonts w:eastAsia="仿宋" w:hint="eastAsia"/>
        </w:rPr>
        <w:t>网络课程与网络课程、网络课程与公选课、其它所修或将修的必修课或限选课程的</w:t>
      </w:r>
      <w:r>
        <w:rPr>
          <w:b w:val="1"/>
          <w:sz w:val="24"/>
          <w:szCs w:val="24"/>
          <w:rFonts w:ascii="黑体" w:eastAsia="黑体" w:hAnsi="黑体" w:hint="eastAsia"/>
        </w:rPr>
        <w:t>名称或课</w:t>
      </w:r>
      <w:r>
        <w:rPr>
          <w:b w:val="1"/>
          <w:sz w:val="24"/>
          <w:szCs w:val="24"/>
          <w:rFonts w:ascii="黑体" w:eastAsia="黑体" w:hAnsi="黑体" w:hint="eastAsia"/>
        </w:rPr>
        <w:t>程内容不能重复或类似，否则只计一门课程学分。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4370" w:type="dxa"/>
        <w:tblInd w:w="95" w:type="dxa"/>
        <w:tblLook w:val="0004A0" w:firstRow="1" w:lastRow="0" w:firstColumn="1" w:lastColumn="0" w:noHBand="0" w:noVBand="1"/>
        <w:tblLayout w:type="fixed"/>
      </w:tblPr>
      <w:tblGrid>
        <w:gridCol w:w="439"/>
        <w:gridCol w:w="2864"/>
        <w:gridCol w:w="5357"/>
        <w:gridCol w:w="1134"/>
        <w:gridCol w:w="770"/>
        <w:gridCol w:w="38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03"/>
        </w:trPr>
        <w:tc>
          <w:tcPr>
            <w:tcW w:type="dxa" w:w="439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序</w:t>
            </w:r>
            <w:r>
              <w:rPr>
                <w:sz w:val="20"/>
                <w:szCs w:val="20"/>
                <w:rFonts w:ascii="宋体" w:hAnsi="宋体" w:cs="Arial" w:hint="eastAsia"/>
              </w:rPr>
              <w:t>号</w:t>
            </w:r>
          </w:p>
        </w:tc>
        <w:tc>
          <w:tcPr>
            <w:tcW w:type="dxa" w:w="286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808080"/>
          </w:tcPr>
          <w:p>
            <w:pPr>
              <w:jc w:val="center"/>
              <w:rPr>
                <w:color w:val="FFFFFF"/>
                <w:sz w:val="24"/>
                <w:szCs w:val="24"/>
                <w:rFonts w:ascii="Arial" w:hAnsi="Arial" w:cs="Arial"/>
              </w:rPr>
            </w:pPr>
            <w:r>
              <w:rPr>
                <w:color w:val="FFFFFF"/>
                <w:sz w:val="24"/>
                <w:szCs w:val="24"/>
                <w:rFonts w:ascii="Arial" w:hAnsi="Arial" w:cs="Arial"/>
              </w:rPr>
              <w:t>课程名称</w:t>
            </w:r>
          </w:p>
        </w:tc>
        <w:tc>
          <w:tcPr>
            <w:tcW w:type="dxa" w:w="535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808080"/>
          </w:tcPr>
          <w:p>
            <w:pPr>
              <w:jc w:val="center"/>
              <w:rPr>
                <w:color w:val="FFFFFF"/>
                <w:sz w:val="24"/>
                <w:szCs w:val="24"/>
                <w:rFonts w:ascii="Arial" w:hAnsi="Arial" w:cs="Arial"/>
              </w:rPr>
            </w:pPr>
            <w:r>
              <w:rPr>
                <w:color w:val="FFFFFF"/>
                <w:sz w:val="24"/>
                <w:szCs w:val="24"/>
                <w:rFonts w:ascii="Arial" w:hAnsi="Arial" w:cs="Arial"/>
              </w:rPr>
              <w:t>学校</w:t>
            </w:r>
          </w:p>
        </w:tc>
        <w:tc>
          <w:tcPr>
            <w:tcW w:type="dxa" w:w="113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808080"/>
          </w:tcPr>
          <w:p>
            <w:pPr>
              <w:jc w:val="center"/>
              <w:rPr>
                <w:color w:val="FFFFFF"/>
                <w:sz w:val="24"/>
                <w:szCs w:val="24"/>
                <w:rFonts w:ascii="Arial" w:hAnsi="Arial" w:cs="Arial"/>
              </w:rPr>
            </w:pPr>
            <w:r>
              <w:rPr>
                <w:color w:val="FFFFFF"/>
                <w:sz w:val="24"/>
                <w:szCs w:val="24"/>
                <w:rFonts w:ascii="Arial" w:hAnsi="Arial" w:cs="Arial"/>
              </w:rPr>
              <w:t>学分</w:t>
            </w:r>
          </w:p>
        </w:tc>
        <w:tc>
          <w:tcPr>
            <w:tcW w:type="dxa" w:w="77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808080"/>
          </w:tcPr>
          <w:p>
            <w:pPr>
              <w:jc w:val="center"/>
              <w:rPr>
                <w:color w:val="FFFFFF"/>
                <w:sz w:val="24"/>
                <w:szCs w:val="24"/>
                <w:rFonts w:ascii="Arial" w:hAnsi="Arial" w:cs="Arial"/>
              </w:rPr>
            </w:pPr>
            <w:r>
              <w:rPr>
                <w:color w:val="FFFFFF"/>
                <w:sz w:val="24"/>
                <w:szCs w:val="24"/>
                <w:rFonts w:ascii="Arial" w:hAnsi="Arial" w:cs="Arial"/>
              </w:rPr>
              <w:t>学时</w:t>
            </w:r>
          </w:p>
        </w:tc>
        <w:tc>
          <w:tcPr>
            <w:tcW w:type="dxa" w:w="380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创新工程实践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北京大学等跨校共建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48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孙子兵法中的思维智慧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哈尔滨工程大学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36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世界著名博物馆艺术经典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北京大学、清华大学、中国国家博物馆/跨校共建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4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艺术与审美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北京大学、中央美术学院等</w:t>
            </w:r>
            <w:r>
              <w:rPr>
                <w:sz w:val="20"/>
                <w:szCs w:val="20"/>
                <w:rFonts w:ascii="Arial" w:hAnsi="Arial" w:cs="Arial"/>
              </w:rPr>
              <w:t>8</w:t>
            </w:r>
            <w:r>
              <w:rPr>
                <w:sz w:val="20"/>
                <w:szCs w:val="20"/>
                <w:rFonts w:ascii="宋体" w:hAnsi="宋体" w:cs="Arial" w:hint="eastAsia"/>
              </w:rPr>
              <w:t>校</w:t>
            </w:r>
            <w:r>
              <w:rPr>
                <w:sz w:val="20"/>
                <w:szCs w:val="20"/>
                <w:rFonts w:ascii="Arial" w:hAnsi="Arial" w:cs="Arial"/>
              </w:rPr>
              <w:t>/</w:t>
            </w:r>
            <w:r>
              <w:rPr>
                <w:sz w:val="20"/>
                <w:szCs w:val="20"/>
                <w:rFonts w:ascii="宋体" w:hAnsi="宋体" w:cs="Arial" w:hint="eastAsia"/>
              </w:rPr>
              <w:t>跨校共建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42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5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敦煌的艺术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北京大学、敦煌研究院等/跨校共建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6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中国哲学经典著作导读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西安交通大学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7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中国传统文化（西安交通大</w:t>
            </w:r>
            <w:r>
              <w:rPr>
                <w:sz w:val="20"/>
                <w:szCs w:val="20"/>
                <w:rFonts w:ascii="宋体" w:hAnsi="宋体" w:cs="Arial" w:hint="eastAsia"/>
              </w:rPr>
              <w:t>学）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西安交通大学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8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视觉与艺术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西安交通大学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9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地球历史及其生命的奥秘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兰州大学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B050"/>
                <w:sz w:val="20"/>
                <w:szCs w:val="20"/>
                <w:rFonts w:ascii="Arial" w:hAnsi="Arial" w:cs="Arial"/>
              </w:rPr>
            </w:pPr>
            <w:r>
              <w:rPr>
                <w:color w:val="00B050"/>
                <w:sz w:val="20"/>
                <w:szCs w:val="20"/>
                <w:rFonts w:ascii="Arial" w:hAnsi="Arial" w:cs="Arial"/>
              </w:rPr>
              <w:t>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10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美学与人生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西南大学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11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创造性思维与创新方法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大连理工大学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12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艾滋病、性与健康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教育部体卫艺司、中国卫计委疾控局等/跨校共建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18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13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海洋文明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福州大学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14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中国少数民族文化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云南大学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15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公共关系与人际交往能力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同济大学、复旦大学、华东师范大学/跨校共建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36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16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食品安全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浙江大学、北京大学、中国农业大学等13校/跨校共建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17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秦陵：帝国与梦想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西北大学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B050"/>
                <w:sz w:val="20"/>
                <w:szCs w:val="20"/>
                <w:rFonts w:ascii="Arial" w:hAnsi="Arial" w:cs="Arial"/>
              </w:rPr>
            </w:pPr>
            <w:r>
              <w:rPr>
                <w:color w:val="00B050"/>
                <w:sz w:val="20"/>
                <w:szCs w:val="20"/>
                <w:rFonts w:ascii="Arial" w:hAnsi="Arial" w:cs="Arial"/>
              </w:rPr>
              <w:t>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18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生命科学导论（上海交通大</w:t>
            </w:r>
            <w:r>
              <w:rPr>
                <w:sz w:val="20"/>
                <w:szCs w:val="20"/>
                <w:rFonts w:ascii="宋体" w:hAnsi="宋体" w:cs="Arial" w:hint="eastAsia"/>
              </w:rPr>
              <w:t>学）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上海交通大学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19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中医药与中华传统文化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上海交通大学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20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解密黄帝内经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上海中医药大学、北京中医药大学、安徽中医药大学、湖</w:t>
            </w:r>
            <w:r>
              <w:rPr>
                <w:sz w:val="20"/>
                <w:szCs w:val="20"/>
                <w:rFonts w:ascii="Arial" w:hAnsi="Arial" w:cs="Arial"/>
              </w:rPr>
              <w:t>南中医药大学等/跨校共建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21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人文与医学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复旦大学上海医学院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22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丝绸之路文明启示录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中国人民大学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23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开启疑案之门的金钥匙</w:t>
            </w:r>
            <w:r>
              <w:rPr>
                <w:sz w:val="20"/>
                <w:szCs w:val="20"/>
                <w:rFonts w:ascii="Arial" w:hAnsi="Arial" w:cs="Arial"/>
              </w:rPr>
              <w:t>——</w:t>
            </w:r>
            <w:r>
              <w:rPr>
                <w:sz w:val="20"/>
                <w:szCs w:val="20"/>
                <w:rFonts w:ascii="宋体" w:hAnsi="宋体" w:cs="Arial" w:hint="eastAsia"/>
              </w:rPr>
              <w:t>司</w:t>
            </w:r>
            <w:r>
              <w:rPr>
                <w:sz w:val="20"/>
                <w:szCs w:val="20"/>
                <w:rFonts w:ascii="宋体" w:hAnsi="宋体" w:cs="Arial" w:hint="eastAsia"/>
              </w:rPr>
              <w:t>法鉴定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华东政法大学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36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24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巴蜀文化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四川大学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25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《道德经》的智慧启示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中国海洋大学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44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26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思辨与创新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复旦大学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27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中国历史地理概况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复旦大学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中国古典诗词中的品格与修养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南开大学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29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生态文明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南开大学、北京大学等/ 跨校共建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大学生创业概论与实践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复旦大学、北京大学、清华大学、浙江大学等/跨校共建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30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31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走进故宫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故宫博物院、中国紫禁城学会、故宫研究院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解码国家安全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国际关系学院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33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海洋的前世今生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中国海洋大学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34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34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智能时代下的创新创业实践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四川大学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35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丝绸之路漫谈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西北大学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B050"/>
                <w:sz w:val="20"/>
                <w:szCs w:val="20"/>
                <w:rFonts w:ascii="Arial" w:hAnsi="Arial" w:cs="Arial"/>
              </w:rPr>
            </w:pPr>
            <w:r>
              <w:rPr>
                <w:color w:val="00B050"/>
                <w:sz w:val="20"/>
                <w:szCs w:val="20"/>
                <w:rFonts w:ascii="Arial" w:hAnsi="Arial" w:cs="Arial"/>
              </w:rPr>
              <w:t>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36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唐诗宋词人文解读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上海交通大学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37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动物与中国文化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东北林业大学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20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38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感悟考古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北京大学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55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39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世界舞台上的中华文明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重庆大学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55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40</w:t>
            </w: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大学生爱国教育十讲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中国海洋大学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32</w:t>
            </w: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B050"/>
                <w:sz w:val="20"/>
                <w:szCs w:val="20"/>
                <w:rFonts w:ascii="Arial" w:hAnsi="Arial" w:cs="Arial"/>
              </w:rPr>
            </w:pPr>
            <w:r>
              <w:rPr>
                <w:color w:val="00B050"/>
                <w:sz w:val="20"/>
                <w:szCs w:val="20"/>
                <w:rFonts w:ascii="Arial" w:hAnsi="Arial" w:cs="Arial"/>
              </w:rPr>
              <w:t>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55"/>
        </w:trPr>
        <w:tc>
          <w:tcPr>
            <w:tcW w:type="dxa" w:w="4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41</w:t>
            </w:r>
          </w:p>
        </w:tc>
        <w:tc>
          <w:tcPr>
            <w:tcW w:type="dxa" w:w="28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宋体" w:hAnsi="宋体" w:cs="Arial"/>
              </w:rPr>
            </w:pPr>
            <w:r>
              <w:rPr>
                <w:sz w:val="20"/>
                <w:szCs w:val="20"/>
                <w:rFonts w:ascii="宋体" w:hAnsi="宋体" w:cs="Arial" w:hint="eastAsia"/>
              </w:rPr>
              <w:t>中国古建筑文化与鉴赏</w:t>
            </w:r>
          </w:p>
        </w:tc>
        <w:tc>
          <w:tcPr>
            <w:tcW w:type="dxa" w:w="5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清华大学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2.0</w:t>
            </w:r>
          </w:p>
        </w:tc>
        <w:tc>
          <w:tcPr>
            <w:tcW w:type="dxa" w:w="7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28</w:t>
            </w:r>
          </w:p>
        </w:tc>
        <w:tc>
          <w:tcPr>
            <w:tcW w:type="dxa" w:w="38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55"/>
        </w:trPr>
        <w:tc>
          <w:tcPr>
            <w:tcW w:type="dxa" w:w="4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86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b w:val="1"/>
                <w:sz w:val="20"/>
                <w:szCs w:val="20"/>
                <w:rFonts w:ascii="宋体" w:hAnsi="宋体" w:cs="Arial"/>
              </w:rPr>
            </w:pPr>
            <w:r>
              <w:rPr>
                <w:b w:val="1"/>
                <w:sz w:val="20"/>
                <w:szCs w:val="20"/>
                <w:rFonts w:ascii="宋体" w:hAnsi="宋体" w:cs="Arial" w:hint="eastAsia"/>
              </w:rPr>
              <w:t>注：总共开41门。</w:t>
            </w:r>
          </w:p>
        </w:tc>
        <w:tc>
          <w:tcPr>
            <w:tcW w:type="dxa" w:w="5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0"/>
                <w:szCs w:val="20"/>
                <w:rFonts w:ascii="Arial" w:hAnsi="Arial" w:cs="Arial"/>
              </w:rPr>
            </w:pPr>
          </w:p>
        </w:tc>
      </w:tr>
    </w:tbl>
    <w:p>
      <w:pPr>
        <w:rPr/>
      </w:pPr>
    </w:p>
    <w:sectPr>
      <w:pgSz w:w="11906" w:h="16838"/>
      <w:pgMar w:top="1134" w:left="567" w:bottom="1134" w:right="56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152"/>
    <w:uiPriority w:val="151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rPr>
      <w:sz w:val="18"/>
      <w:szCs w:val="18"/>
      <w:rFonts w:cs="Times New Roman"/>
    </w:rPr>
  </w:style>
  <w:style w:styleId="PO153" w:type="paragraph">
    <w:name w:val="footer"/>
    <w:basedOn w:val="PO1"/>
    <w:link w:val="PO154"/>
    <w:uiPriority w:val="153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rPr>
      <w:sz w:val="18"/>
      <w:szCs w:val="18"/>
      <w:rFonts w:cs="Times New Roman"/>
    </w:rPr>
  </w:style>
  <w:style w:styleId="PO155" w:type="paragraph">
    <w:name w:val="Balloon Text"/>
    <w:basedOn w:val="PO1"/>
    <w:link w:val="PO156"/>
    <w:uiPriority w:val="155"/>
    <w:rPr>
      <w:sz w:val="18"/>
      <w:szCs w:val="18"/>
    </w:rPr>
  </w:style>
  <w:style w:customStyle="1" w:styleId="PO156" w:type="character">
    <w:name w:val="批注框文本 Char"/>
    <w:basedOn w:val="PO2"/>
    <w:link w:val="PO155"/>
    <w:uiPriority w:val="156"/>
    <w:rPr>
      <w:sz w:val="18"/>
      <w:szCs w:val="18"/>
      <w:rFonts w:cs="Times New Roman"/>
    </w:rPr>
  </w:style>
  <w:style w:styleId="PO157" w:type="character">
    <w:name w:val="Hyperlink"/>
    <w:basedOn w:val="PO2"/>
    <w:uiPriority w:val="157"/>
    <w:rPr>
      <w:color w:val="0000FF"/>
      <w:u w:val="single"/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1621</Characters>
  <CharactersWithSpaces>0</CharactersWithSpaces>
  <Company>Microsoft</Company>
  <DocSecurity>0</DocSecurity>
  <HyperlinksChanged>false</HyperlinksChanged>
  <Lines>11</Lines>
  <LinksUpToDate>false</LinksUpToDate>
  <Pages>2</Pages>
  <Paragraphs>3</Paragraphs>
  <Words>242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:title>2015-2016-2智慧树网络课程</dc:title>
  <dcterms:modified xsi:type="dcterms:W3CDTF">2020-01-15T08:58:00Z</dcterms:modified>
</cp:coreProperties>
</file>